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科学技术局</w:t>
      </w:r>
      <w:r>
        <w:rPr>
          <w:rFonts w:hint="eastAsia" w:ascii="方正小标宋简体" w:hAnsi="Times New Roman" w:eastAsia="方正小标宋简体" w:cs="Times New Roman"/>
          <w:sz w:val="44"/>
          <w:szCs w:val="44"/>
        </w:rPr>
        <w:t>2018年部门预算信息公开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eastAsia="zh-CN"/>
        </w:rPr>
        <w:t>霸州市科学技术局</w:t>
      </w:r>
      <w:r>
        <w:rPr>
          <w:rFonts w:hint="eastAsia" w:ascii="仿宋_GB2312" w:hAnsi="Times New Roman" w:eastAsia="仿宋_GB2312" w:cs="Times New Roman"/>
          <w:sz w:val="32"/>
          <w:szCs w:val="32"/>
        </w:rPr>
        <w:t>2018年部门预算公开如下：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部门职责：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（一）负责贯彻党和国家有关科学技术政策法规，提出具体实施意见，研究草拟全市有关科学技术方针、政策，并检查执行情况。</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（二）协同有关部门制定中长期科学技术发展规划及年重点攻关，科学技术成果推广应用计划，并掌握分配科学技术经费。</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（三）负责科学技术成果的鉴定和奖励，搞好技术保密审查、知识产权的协调工作。</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（四）管理技术市场，推动多层次多行业的技术开发和技术交易活动。审批管理技术贸易机构，监督检查《技术合同法》的实施和技术合同的认定登记工作。</w:t>
      </w:r>
      <w:r>
        <w:rPr>
          <w:rFonts w:hint="eastAsia" w:ascii="仿宋_GB2312" w:hAnsi="Times New Roman" w:eastAsia="仿宋_GB2312" w:cs="Times New Roman"/>
          <w:sz w:val="32"/>
          <w:szCs w:val="32"/>
        </w:rPr>
        <w:br w:type="textWrapping"/>
      </w:r>
      <w:r>
        <w:rPr>
          <w:rFonts w:ascii="仿宋" w:hAnsi="仿宋" w:eastAsia="仿宋"/>
          <w:sz w:val="32"/>
          <w:szCs w:val="32"/>
        </w:rPr>
        <w:t xml:space="preserve">    </w:t>
      </w:r>
      <w:r>
        <w:rPr>
          <w:rFonts w:hint="eastAsia" w:ascii="仿宋_GB2312" w:hAnsi="Times New Roman" w:eastAsia="仿宋_GB2312" w:cs="Times New Roman"/>
          <w:sz w:val="32"/>
          <w:szCs w:val="32"/>
        </w:rPr>
        <w:t>（五）负责专业技术干部和科技管理干部及农村科技队伍的管理培训。</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（六）指导全市厂办和民办科技开发机构的改革，加强农村科学技术服务体系建设，搞好科技示范活动。</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（七）组织专利技术实施和专利实施许可合同的认定登记，指导和协调有关部门的专利工作。</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（八）组织推动全市科技情报网络建设，做好信息服务工作，积极开展技术开发、技术转让等技术贸易活动。</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（九）负责科学技术普及、软科学研究和科技信息反馈工作，指导科技第三产业发展，负责市科技局管理范围内的科技统计。</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（十）指导协调各乡镇有关科技管理工作，协同有关部门推动农村、行业和企业的科技进步，并对有关部门的科技进步进行检测和考核。</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科技局内设办公室，综合科技股，知识产权办公室、生产力促进中心4个科室</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 w:hAnsi="楷体" w:eastAsia="楷体" w:cs="楷体"/>
          <w:b/>
          <w:bCs w:val="0"/>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outlineLvl w:val="0"/>
              <w:rPr>
                <w:rFonts w:ascii="Times New Roman" w:hAnsi="Times New Roman" w:eastAsia="方正书宋_GBK" w:cs="Times New Roman"/>
                <w:szCs w:val="24"/>
              </w:rPr>
            </w:pPr>
            <w:r>
              <w:rPr>
                <w:rFonts w:hint="eastAsia" w:ascii="方正书宋_GBK" w:eastAsia="方正书宋_GBK"/>
              </w:rPr>
              <w:t>霸州市科学技术局</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 w:hAnsi="楷体" w:eastAsia="楷体" w:cs="楷体"/>
          <w:b/>
          <w:bCs w:val="0"/>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反映本部门当年全部收入。2018年预算收入</w:t>
      </w:r>
      <w:r>
        <w:rPr>
          <w:rFonts w:hint="eastAsia" w:ascii="仿宋_GB2312" w:hAnsi="Times New Roman" w:eastAsia="仿宋_GB2312" w:cs="Times New Roman"/>
          <w:sz w:val="32"/>
          <w:szCs w:val="32"/>
          <w:lang w:val="en-US" w:eastAsia="zh-CN"/>
        </w:rPr>
        <w:t>2056.61</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2056.61</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 w:hAnsi="楷体" w:eastAsia="楷体" w:cs="楷体"/>
          <w:b/>
          <w:bCs w:val="0"/>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科学技术局</w:t>
      </w:r>
      <w:r>
        <w:rPr>
          <w:rFonts w:hint="eastAsia" w:ascii="仿宋_GB2312" w:hAnsi="Times New Roman" w:eastAsia="仿宋_GB2312" w:cs="Times New Roman"/>
          <w:sz w:val="32"/>
          <w:szCs w:val="32"/>
        </w:rPr>
        <w:t>2018年度部门预算中支出预算的总体情况。2018年本部门支出预算</w:t>
      </w:r>
      <w:r>
        <w:rPr>
          <w:rFonts w:hint="eastAsia" w:ascii="仿宋_GB2312" w:hAnsi="Times New Roman" w:eastAsia="仿宋_GB2312" w:cs="Times New Roman"/>
          <w:sz w:val="32"/>
          <w:szCs w:val="32"/>
          <w:lang w:val="en-US" w:eastAsia="zh-CN"/>
        </w:rPr>
        <w:t>2056.61</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261.81</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228.89</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32.92</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1794.80</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中小企业科技创新奖励资金</w:t>
      </w:r>
      <w:r>
        <w:rPr>
          <w:rFonts w:hint="eastAsia" w:ascii="仿宋_GB2312" w:hAnsi="Times New Roman" w:eastAsia="仿宋_GB2312" w:cs="Times New Roman"/>
          <w:sz w:val="32"/>
          <w:szCs w:val="32"/>
          <w:lang w:val="en-US" w:eastAsia="zh-CN"/>
        </w:rPr>
        <w:t>650万</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科技创新金融</w:t>
      </w:r>
      <w:r>
        <w:rPr>
          <w:rFonts w:hint="eastAsia" w:ascii="仿宋_GB2312" w:hAnsi="Times New Roman" w:eastAsia="仿宋_GB2312" w:cs="Times New Roman"/>
          <w:sz w:val="32"/>
          <w:szCs w:val="32"/>
          <w:lang w:val="en-US" w:eastAsia="zh-CN"/>
        </w:rPr>
        <w:t>1000万</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hint="eastAsia" w:ascii="楷体" w:hAnsi="楷体" w:eastAsia="楷体" w:cs="楷体"/>
          <w:b/>
          <w:bCs w:val="0"/>
          <w:sz w:val="32"/>
          <w:szCs w:val="32"/>
        </w:rPr>
      </w:pPr>
      <w:r>
        <w:rPr>
          <w:rFonts w:hint="eastAsia" w:ascii="楷体" w:hAnsi="楷体" w:eastAsia="楷体" w:cs="楷体"/>
          <w:b/>
          <w:bCs w:val="0"/>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2018年预算收支安排</w:t>
      </w:r>
      <w:r>
        <w:rPr>
          <w:rFonts w:hint="eastAsia" w:ascii="仿宋_GB2312" w:hAnsi="Times New Roman" w:eastAsia="仿宋_GB2312" w:cs="Times New Roman"/>
          <w:color w:val="000000" w:themeColor="text1"/>
          <w:sz w:val="32"/>
          <w:szCs w:val="32"/>
          <w:lang w:val="en-US" w:eastAsia="zh-CN"/>
        </w:rPr>
        <w:t>2056.61</w:t>
      </w:r>
      <w:r>
        <w:rPr>
          <w:rFonts w:hint="eastAsia" w:ascii="仿宋_GB2312" w:hAnsi="Times New Roman" w:eastAsia="仿宋_GB2312" w:cs="Times New Roman"/>
          <w:color w:val="000000" w:themeColor="text1"/>
          <w:sz w:val="32"/>
          <w:szCs w:val="32"/>
        </w:rPr>
        <w:t>万元，较2017年预算减少</w:t>
      </w:r>
      <w:r>
        <w:rPr>
          <w:rFonts w:hint="eastAsia" w:ascii="仿宋_GB2312" w:hAnsi="Times New Roman" w:eastAsia="仿宋_GB2312" w:cs="Times New Roman"/>
          <w:color w:val="000000" w:themeColor="text1"/>
          <w:sz w:val="32"/>
          <w:szCs w:val="32"/>
          <w:lang w:val="en-US" w:eastAsia="zh-CN"/>
        </w:rPr>
        <w:t>300.72</w:t>
      </w:r>
      <w:r>
        <w:rPr>
          <w:rFonts w:hint="eastAsia" w:ascii="仿宋_GB2312" w:hAnsi="Times New Roman" w:eastAsia="仿宋_GB2312" w:cs="Times New Roman"/>
          <w:color w:val="000000" w:themeColor="text1"/>
          <w:sz w:val="32"/>
          <w:szCs w:val="32"/>
        </w:rPr>
        <w:t>万元，其中：基本支出减少</w:t>
      </w:r>
      <w:r>
        <w:rPr>
          <w:rFonts w:hint="eastAsia" w:ascii="仿宋_GB2312" w:hAnsi="Times New Roman" w:eastAsia="仿宋_GB2312" w:cs="Times New Roman"/>
          <w:color w:val="000000" w:themeColor="text1"/>
          <w:sz w:val="32"/>
          <w:szCs w:val="32"/>
          <w:lang w:val="en-US" w:eastAsia="zh-CN"/>
        </w:rPr>
        <w:t>12.56</w:t>
      </w:r>
      <w:r>
        <w:rPr>
          <w:rFonts w:hint="eastAsia" w:ascii="仿宋_GB2312" w:hAnsi="Times New Roman" w:eastAsia="仿宋_GB2312" w:cs="Times New Roman"/>
          <w:color w:val="000000" w:themeColor="text1"/>
          <w:sz w:val="32"/>
          <w:szCs w:val="32"/>
        </w:rPr>
        <w:t>万元，主要为减少</w:t>
      </w:r>
      <w:r>
        <w:rPr>
          <w:rFonts w:hint="eastAsia" w:ascii="仿宋_GB2312" w:hAnsi="Times New Roman" w:eastAsia="仿宋_GB2312" w:cs="Times New Roman"/>
          <w:color w:val="000000" w:themeColor="text1"/>
          <w:sz w:val="32"/>
          <w:szCs w:val="32"/>
          <w:lang w:eastAsia="zh-CN"/>
        </w:rPr>
        <w:t>人员经费</w:t>
      </w:r>
      <w:r>
        <w:rPr>
          <w:rFonts w:hint="eastAsia" w:ascii="仿宋_GB2312" w:hAnsi="Times New Roman" w:eastAsia="仿宋_GB2312" w:cs="Times New Roman"/>
          <w:color w:val="000000" w:themeColor="text1"/>
          <w:sz w:val="32"/>
          <w:szCs w:val="32"/>
        </w:rPr>
        <w:t>支出；项目支出减少</w:t>
      </w:r>
      <w:r>
        <w:rPr>
          <w:rFonts w:hint="eastAsia" w:ascii="仿宋_GB2312" w:hAnsi="Times New Roman" w:eastAsia="仿宋_GB2312" w:cs="Times New Roman"/>
          <w:color w:val="000000" w:themeColor="text1"/>
          <w:sz w:val="32"/>
          <w:szCs w:val="32"/>
          <w:lang w:val="en-US" w:eastAsia="zh-CN"/>
        </w:rPr>
        <w:t>288.16</w:t>
      </w:r>
      <w:r>
        <w:rPr>
          <w:rFonts w:hint="eastAsia" w:ascii="仿宋_GB2312" w:hAnsi="Times New Roman" w:eastAsia="仿宋_GB2312" w:cs="Times New Roman"/>
          <w:color w:val="000000" w:themeColor="text1"/>
          <w:sz w:val="32"/>
          <w:szCs w:val="32"/>
        </w:rPr>
        <w:t>万元，主要为减少</w:t>
      </w:r>
      <w:r>
        <w:rPr>
          <w:rFonts w:hint="eastAsia" w:ascii="仿宋" w:hAnsi="仿宋" w:eastAsia="仿宋"/>
          <w:sz w:val="32"/>
          <w:szCs w:val="32"/>
        </w:rPr>
        <w:t>关于提前下达支持市县科技创新和科学普及省级专项资金</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32.92</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万元，主要用于办公区的日常维修、办公用房水电费、办公用房取暖费、办公及印刷费，邮电费、差旅费、福利费、公务接待费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培训费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2018年，我部门“三公”经费预算安排</w:t>
      </w:r>
      <w:r>
        <w:rPr>
          <w:rFonts w:hint="eastAsia" w:ascii="仿宋_GB2312" w:hAnsi="Times New Roman" w:eastAsia="仿宋_GB2312" w:cs="Times New Roman"/>
          <w:sz w:val="32"/>
          <w:szCs w:val="32"/>
          <w:lang w:val="en-US" w:eastAsia="zh-CN"/>
        </w:rPr>
        <w:t>2.71</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0.21</w:t>
      </w:r>
      <w:r>
        <w:rPr>
          <w:rFonts w:hint="eastAsia" w:ascii="仿宋_GB2312" w:hAnsi="Times New Roman" w:eastAsia="仿宋_GB2312" w:cs="Times New Roman"/>
          <w:sz w:val="32"/>
          <w:szCs w:val="32"/>
        </w:rPr>
        <w:t>万元，较2017年“三公”经费减</w:t>
      </w:r>
      <w:r>
        <w:rPr>
          <w:rFonts w:hint="eastAsia" w:ascii="仿宋_GB2312" w:hAnsi="Times New Roman" w:eastAsia="仿宋_GB2312" w:cs="Times New Roman"/>
          <w:sz w:val="32"/>
          <w:szCs w:val="32"/>
          <w:lang w:val="en-US" w:eastAsia="zh-CN"/>
        </w:rPr>
        <w:t>0.01</w:t>
      </w:r>
      <w:r>
        <w:rPr>
          <w:rFonts w:hint="eastAsia" w:ascii="仿宋_GB2312" w:hAnsi="Times New Roman" w:eastAsia="仿宋_GB2312" w:cs="Times New Roman"/>
          <w:sz w:val="32"/>
          <w:szCs w:val="32"/>
        </w:rPr>
        <w:t>万元，主要是因为因公出国（境）费与2017年持平，无增减变化；公务用车购置费与2017年持平，无增减变化</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公务用车运行维护费与2017年持平，无增减变化；公务接待费减少0.</w:t>
      </w:r>
      <w:r>
        <w:rPr>
          <w:rFonts w:hint="eastAsia" w:ascii="仿宋_GB2312" w:hAnsi="Times New Roman" w:eastAsia="仿宋_GB2312" w:cs="Times New Roman"/>
          <w:sz w:val="32"/>
          <w:szCs w:val="32"/>
          <w:lang w:val="en-US" w:eastAsia="zh-CN"/>
        </w:rPr>
        <w:t>01</w:t>
      </w:r>
      <w:r>
        <w:rPr>
          <w:rFonts w:hint="eastAsia" w:ascii="仿宋_GB2312" w:hAnsi="Times New Roman" w:eastAsia="仿宋_GB2312" w:cs="Times New Roman"/>
          <w:sz w:val="32"/>
          <w:szCs w:val="32"/>
        </w:rPr>
        <w:t>万元，减少原因为</w:t>
      </w:r>
      <w:r>
        <w:rPr>
          <w:rFonts w:hint="eastAsia" w:ascii="仿宋_GB2312" w:hAnsi="Times New Roman" w:eastAsia="仿宋_GB2312" w:cs="Times New Roman"/>
          <w:sz w:val="32"/>
          <w:szCs w:val="32"/>
          <w:lang w:eastAsia="zh-CN"/>
        </w:rPr>
        <w:t>认真贯彻落实中央关于厉行节约的要求，从而减少公务接待支出费用。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1" w:name="_Toc471398463"/>
      <w:r>
        <w:rPr>
          <w:rFonts w:hint="eastAsia" w:ascii="楷体" w:hAnsi="楷体" w:eastAsia="楷体" w:cs="楷体"/>
          <w:b/>
          <w:bCs w:val="0"/>
          <w:sz w:val="32"/>
          <w:szCs w:val="32"/>
        </w:rPr>
        <w:t>总体绩效目标：</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lang w:eastAsia="zh-CN"/>
        </w:rPr>
        <w:t>（一）</w:t>
      </w:r>
      <w:r>
        <w:rPr>
          <w:rFonts w:hint="eastAsia" w:ascii="仿宋_GB2312" w:eastAsia="仿宋_GB2312" w:cs="宋体"/>
          <w:kern w:val="0"/>
          <w:sz w:val="32"/>
          <w:szCs w:val="32"/>
        </w:rPr>
        <w:t>科技型中小企业培育工程</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整合人才、技术、资金、土地等创新要素向中小企业聚集</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实施苗圃工程、雏鹰工程、科技小巨人工程，推动科技型中小企业数量扩张、规模做大、实力做强、结构做优，加速培育技术水平领先、竞争能力强、成长性好的科技型中小企业群体，形成千帆竞发、蓬勃向上的集群发展态势。</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rPr>
        <w:t>扎实做好科技型中小企业培育认定工作。通过孵化器培育一批、科技人员创办一批、传统产业转型一批、科技招商引进一批，实现全市科技型中小企业数量迅速增长。到201</w:t>
      </w:r>
      <w:r>
        <w:rPr>
          <w:rFonts w:hint="eastAsia" w:ascii="仿宋_GB2312" w:eastAsia="仿宋_GB2312" w:cs="宋体"/>
          <w:kern w:val="0"/>
          <w:sz w:val="32"/>
          <w:szCs w:val="32"/>
          <w:lang w:val="en-US" w:eastAsia="zh-CN"/>
        </w:rPr>
        <w:t>8</w:t>
      </w:r>
      <w:r>
        <w:rPr>
          <w:rFonts w:hint="eastAsia" w:ascii="仿宋_GB2312" w:eastAsia="仿宋_GB2312" w:cs="宋体"/>
          <w:kern w:val="0"/>
          <w:sz w:val="32"/>
          <w:szCs w:val="32"/>
        </w:rPr>
        <w:t>年，全市科技型中小企业</w:t>
      </w:r>
      <w:r>
        <w:rPr>
          <w:rFonts w:hint="eastAsia" w:ascii="仿宋_GB2312" w:eastAsia="仿宋_GB2312" w:cs="宋体"/>
          <w:kern w:val="0"/>
          <w:sz w:val="32"/>
          <w:szCs w:val="32"/>
          <w:lang w:eastAsia="zh-CN"/>
        </w:rPr>
        <w:t>突破</w:t>
      </w:r>
      <w:r>
        <w:rPr>
          <w:rFonts w:hint="eastAsia" w:ascii="仿宋_GB2312" w:eastAsia="仿宋_GB2312" w:cs="宋体"/>
          <w:kern w:val="0"/>
          <w:sz w:val="32"/>
          <w:szCs w:val="32"/>
          <w:lang w:val="en-US" w:eastAsia="zh-CN"/>
        </w:rPr>
        <w:t>800</w:t>
      </w:r>
      <w:r>
        <w:rPr>
          <w:rFonts w:hint="eastAsia" w:ascii="仿宋_GB2312" w:eastAsia="仿宋_GB2312" w:cs="宋体"/>
          <w:kern w:val="0"/>
          <w:sz w:val="32"/>
          <w:szCs w:val="32"/>
        </w:rPr>
        <w:t>家</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对通过认定，并经省科技厅备案的科技型中小企业，在各类财政资金项目上优先立项支持，并优先提供科技金融专项资金、创投资金等</w:t>
      </w:r>
      <w:r>
        <w:rPr>
          <w:rFonts w:hint="eastAsia" w:ascii="仿宋_GB2312" w:eastAsia="仿宋_GB2312" w:cs="宋体"/>
          <w:kern w:val="0"/>
          <w:sz w:val="32"/>
          <w:szCs w:val="32"/>
          <w:lang w:val="en-US" w:eastAsia="zh-CN"/>
        </w:rPr>
        <w:t>资金支持</w:t>
      </w:r>
      <w:r>
        <w:rPr>
          <w:rFonts w:hint="eastAsia" w:ascii="仿宋_GB2312" w:eastAsia="仿宋_GB2312" w:cs="宋体"/>
          <w:kern w:val="0"/>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2、深入实施</w:t>
      </w:r>
      <w:r>
        <w:rPr>
          <w:rFonts w:hint="eastAsia" w:ascii="仿宋_GB2312" w:eastAsia="仿宋_GB2312" w:cs="宋体"/>
          <w:kern w:val="0"/>
          <w:sz w:val="32"/>
          <w:szCs w:val="32"/>
          <w:lang w:eastAsia="zh-CN"/>
        </w:rPr>
        <w:t>高新技术企业和</w:t>
      </w:r>
      <w:r>
        <w:rPr>
          <w:rFonts w:hint="eastAsia" w:ascii="仿宋_GB2312" w:eastAsia="仿宋_GB2312" w:cs="宋体"/>
          <w:kern w:val="0"/>
          <w:sz w:val="32"/>
          <w:szCs w:val="32"/>
        </w:rPr>
        <w:t>科技小巨人</w:t>
      </w:r>
      <w:r>
        <w:rPr>
          <w:rFonts w:hint="eastAsia" w:ascii="仿宋_GB2312" w:eastAsia="仿宋_GB2312" w:cs="宋体"/>
          <w:kern w:val="0"/>
          <w:sz w:val="32"/>
          <w:szCs w:val="32"/>
          <w:lang w:val="en-US" w:eastAsia="zh-CN"/>
        </w:rPr>
        <w:t>企业</w:t>
      </w:r>
      <w:r>
        <w:rPr>
          <w:rFonts w:hint="eastAsia" w:ascii="仿宋_GB2312" w:eastAsia="仿宋_GB2312" w:cs="宋体"/>
          <w:kern w:val="0"/>
          <w:sz w:val="32"/>
          <w:szCs w:val="32"/>
        </w:rPr>
        <w:t>成长壮大工程。通过投融资支持、创业辅导服务、创新人才激励、创新基金项目带动等方式，引导企业掌握核心技术和开发拳头产品，推动科技型中小企业做大规模、做强品牌，力争成为行业领军企业。到201</w:t>
      </w:r>
      <w:r>
        <w:rPr>
          <w:rFonts w:hint="eastAsia" w:ascii="仿宋_GB2312" w:eastAsia="仿宋_GB2312" w:cs="宋体"/>
          <w:kern w:val="0"/>
          <w:sz w:val="32"/>
          <w:szCs w:val="32"/>
          <w:lang w:val="en-US" w:eastAsia="zh-CN"/>
        </w:rPr>
        <w:t>8</w:t>
      </w:r>
      <w:r>
        <w:rPr>
          <w:rFonts w:hint="eastAsia" w:ascii="仿宋_GB2312" w:eastAsia="仿宋_GB2312" w:cs="宋体"/>
          <w:kern w:val="0"/>
          <w:sz w:val="32"/>
          <w:szCs w:val="32"/>
        </w:rPr>
        <w:t>年，</w:t>
      </w:r>
      <w:r>
        <w:rPr>
          <w:rFonts w:hint="eastAsia" w:ascii="仿宋_GB2312" w:eastAsia="仿宋_GB2312" w:cs="宋体"/>
          <w:kern w:val="0"/>
          <w:sz w:val="32"/>
          <w:szCs w:val="32"/>
          <w:lang w:eastAsia="zh-CN"/>
        </w:rPr>
        <w:t>全市高新技术企业突破</w:t>
      </w:r>
      <w:r>
        <w:rPr>
          <w:rFonts w:hint="eastAsia" w:ascii="仿宋_GB2312" w:eastAsia="仿宋_GB2312" w:cs="宋体"/>
          <w:kern w:val="0"/>
          <w:sz w:val="32"/>
          <w:szCs w:val="32"/>
          <w:lang w:val="en-US" w:eastAsia="zh-CN"/>
        </w:rPr>
        <w:t>15家，科技小巨人企业突破50家</w:t>
      </w:r>
      <w:r>
        <w:rPr>
          <w:rFonts w:hint="eastAsia" w:ascii="仿宋_GB2312" w:eastAsia="仿宋_GB2312" w:cs="宋体"/>
          <w:kern w:val="0"/>
          <w:sz w:val="32"/>
          <w:szCs w:val="32"/>
        </w:rPr>
        <w:t>。对通过认定的</w:t>
      </w:r>
      <w:r>
        <w:rPr>
          <w:rFonts w:hint="eastAsia" w:ascii="仿宋_GB2312" w:eastAsia="仿宋_GB2312" w:cs="宋体"/>
          <w:kern w:val="0"/>
          <w:sz w:val="32"/>
          <w:szCs w:val="32"/>
          <w:lang w:eastAsia="zh-CN"/>
        </w:rPr>
        <w:t>高新技术企业和</w:t>
      </w:r>
      <w:r>
        <w:rPr>
          <w:rFonts w:hint="eastAsia" w:ascii="仿宋_GB2312" w:eastAsia="仿宋_GB2312" w:cs="宋体"/>
          <w:kern w:val="0"/>
          <w:sz w:val="32"/>
          <w:szCs w:val="32"/>
        </w:rPr>
        <w:t>科技小巨人企业，除享受</w:t>
      </w:r>
      <w:r>
        <w:rPr>
          <w:rFonts w:hint="eastAsia" w:ascii="仿宋_GB2312" w:eastAsia="仿宋_GB2312" w:cs="宋体"/>
          <w:kern w:val="0"/>
          <w:sz w:val="32"/>
          <w:szCs w:val="32"/>
          <w:lang w:eastAsia="zh-CN"/>
        </w:rPr>
        <w:t>国家</w:t>
      </w:r>
      <w:r>
        <w:rPr>
          <w:rFonts w:hint="eastAsia" w:ascii="仿宋_GB2312" w:eastAsia="仿宋_GB2312" w:cs="宋体"/>
          <w:kern w:val="0"/>
          <w:sz w:val="32"/>
          <w:szCs w:val="32"/>
        </w:rPr>
        <w:t>有关政策外，在企业上市、土地供应、产学研合作等方面给予重点支持。</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w:t>
      </w:r>
      <w:r>
        <w:rPr>
          <w:rFonts w:hint="eastAsia" w:ascii="仿宋_GB2312" w:eastAsia="仿宋_GB2312" w:cs="宋体"/>
          <w:kern w:val="0"/>
          <w:sz w:val="32"/>
          <w:szCs w:val="32"/>
          <w:lang w:eastAsia="zh-CN"/>
        </w:rPr>
        <w:t>二</w:t>
      </w:r>
      <w:r>
        <w:rPr>
          <w:rFonts w:hint="eastAsia" w:ascii="仿宋_GB2312" w:eastAsia="仿宋_GB2312" w:cs="宋体"/>
          <w:kern w:val="0"/>
          <w:sz w:val="32"/>
          <w:szCs w:val="32"/>
        </w:rPr>
        <w:t>）科技创新载体构建工程</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着眼于培育壮大战略性新兴产业和转型升级传统产业，以提升霸州对优质科技资源的吸附力、承载力为目标，集中力量构建创新体系。</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1、</w:t>
      </w:r>
      <w:r>
        <w:rPr>
          <w:rFonts w:hint="eastAsia" w:ascii="仿宋_GB2312" w:eastAsia="仿宋_GB2312" w:cs="宋体"/>
          <w:kern w:val="0"/>
          <w:sz w:val="32"/>
          <w:szCs w:val="32"/>
        </w:rPr>
        <w:t>打造创新创业孵化中心。集成全市优质资源，着眼于解决科技型中小企业和科技成果落地难问题，培育科技企业孵化器，通过政府引导，建立多渠道、多层次、多元化投入机制，扩宽融资渠道，吸引社会资金支持孵化中心建设，重点推进三个经济开发区的创新创业孵化器建设，</w:t>
      </w:r>
      <w:r>
        <w:rPr>
          <w:rFonts w:hint="eastAsia" w:ascii="仿宋_GB2312" w:eastAsia="仿宋_GB2312" w:cs="宋体"/>
          <w:kern w:val="0"/>
          <w:sz w:val="32"/>
          <w:szCs w:val="32"/>
          <w:lang w:eastAsia="zh-CN"/>
        </w:rPr>
        <w:t>到</w:t>
      </w:r>
      <w:r>
        <w:rPr>
          <w:rFonts w:hint="eastAsia" w:ascii="仿宋_GB2312" w:eastAsia="仿宋_GB2312" w:cs="宋体"/>
          <w:kern w:val="0"/>
          <w:sz w:val="32"/>
          <w:szCs w:val="32"/>
          <w:lang w:val="en-US" w:eastAsia="zh-CN"/>
        </w:rPr>
        <w:t>2018年</w:t>
      </w:r>
      <w:r>
        <w:rPr>
          <w:rFonts w:hint="eastAsia" w:ascii="仿宋_GB2312" w:eastAsia="仿宋_GB2312" w:cs="宋体"/>
          <w:kern w:val="0"/>
          <w:sz w:val="32"/>
          <w:szCs w:val="32"/>
        </w:rPr>
        <w:t>至少建立</w:t>
      </w:r>
      <w:r>
        <w:rPr>
          <w:rFonts w:hint="eastAsia" w:ascii="仿宋_GB2312" w:eastAsia="仿宋_GB2312" w:cs="宋体"/>
          <w:kern w:val="0"/>
          <w:sz w:val="32"/>
          <w:szCs w:val="32"/>
          <w:lang w:val="en-US" w:eastAsia="zh-CN"/>
        </w:rPr>
        <w:t>3</w:t>
      </w:r>
      <w:r>
        <w:rPr>
          <w:rFonts w:hint="eastAsia" w:ascii="仿宋_GB2312" w:eastAsia="仿宋_GB2312" w:cs="宋体"/>
          <w:kern w:val="0"/>
          <w:sz w:val="32"/>
          <w:szCs w:val="32"/>
        </w:rPr>
        <w:t>家企业孵化器，孵化面积</w:t>
      </w:r>
      <w:r>
        <w:rPr>
          <w:rFonts w:hint="eastAsia" w:ascii="仿宋_GB2312" w:eastAsia="仿宋_GB2312" w:cs="宋体"/>
          <w:kern w:val="0"/>
          <w:sz w:val="32"/>
          <w:szCs w:val="32"/>
          <w:lang w:val="en-US" w:eastAsia="zh-CN"/>
        </w:rPr>
        <w:t>3</w:t>
      </w:r>
      <w:r>
        <w:rPr>
          <w:rFonts w:hint="eastAsia" w:ascii="仿宋_GB2312" w:eastAsia="仿宋_GB2312" w:cs="宋体"/>
          <w:kern w:val="0"/>
          <w:sz w:val="32"/>
          <w:szCs w:val="32"/>
        </w:rPr>
        <w:t>万平方米。</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2、建设快捷完善的科技创新服务中心。</w:t>
      </w:r>
      <w:r>
        <w:rPr>
          <w:rFonts w:hint="eastAsia" w:ascii="仿宋_GB2312" w:eastAsia="仿宋_GB2312" w:cs="宋体"/>
          <w:kern w:val="0"/>
          <w:sz w:val="32"/>
          <w:szCs w:val="32"/>
        </w:rPr>
        <w:t>鼓励发展包括科技咨询、知识产权代理、中介服务、企业融资等在内的科技服务业，依托市生产力促进中心，建设快捷完善的科技创新服务中心，为企业和科研单位以及个人创新创业提供技术推广、技术支持、信息服务、知识产权代理，项目申报、评估咨询、人才引进、项目合作等服务，优化创新创业环境。</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3、共建一批产业技术研究中心</w:t>
      </w:r>
      <w:r>
        <w:rPr>
          <w:rFonts w:hint="eastAsia" w:ascii="仿宋_GB2312" w:eastAsia="仿宋_GB2312" w:cs="宋体"/>
          <w:kern w:val="0"/>
          <w:sz w:val="32"/>
          <w:szCs w:val="32"/>
        </w:rPr>
        <w:t>。抢抓京津冀协同发展机遇，深入挖掘毗邻京津的优势，依托京津雄厚的科技资源和人才资源，进一步密切与中科院、中关村、清华大学、北京大学、中国农科院、天津大学、南开大学、河北工业大学等高校和科研院所的联系沟通，以金属玻璃家具作为特色主导产业，与京津高等院校、科研院所合作，共建产业技术研究中心，</w:t>
      </w:r>
      <w:r>
        <w:rPr>
          <w:rFonts w:hint="eastAsia" w:ascii="仿宋_GB2312" w:eastAsia="仿宋_GB2312" w:cs="宋体"/>
          <w:kern w:val="0"/>
          <w:sz w:val="32"/>
          <w:szCs w:val="32"/>
          <w:lang w:eastAsia="zh-CN"/>
        </w:rPr>
        <w:t>在</w:t>
      </w:r>
      <w:r>
        <w:rPr>
          <w:rFonts w:hint="eastAsia" w:ascii="仿宋_GB2312" w:eastAsia="仿宋_GB2312" w:cs="宋体"/>
          <w:kern w:val="0"/>
          <w:sz w:val="32"/>
          <w:szCs w:val="32"/>
        </w:rPr>
        <w:t>河北省钢木家具产业研究院</w:t>
      </w:r>
      <w:r>
        <w:rPr>
          <w:rFonts w:hint="eastAsia" w:ascii="仿宋_GB2312" w:eastAsia="仿宋_GB2312" w:cs="宋体"/>
          <w:kern w:val="0"/>
          <w:sz w:val="32"/>
          <w:szCs w:val="32"/>
          <w:lang w:eastAsia="zh-CN"/>
        </w:rPr>
        <w:t>基础上，</w:t>
      </w:r>
      <w:r>
        <w:rPr>
          <w:rFonts w:hint="eastAsia" w:ascii="仿宋_GB2312" w:eastAsia="仿宋_GB2312" w:cs="宋体"/>
          <w:kern w:val="0"/>
          <w:sz w:val="32"/>
          <w:szCs w:val="32"/>
        </w:rPr>
        <w:t>鼓励其围绕金属玻璃家具产业，联合攻关，攻克一批核心关键技术，转化一批科研成果，培养一批技术骨干。</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lang w:eastAsia="zh-CN"/>
        </w:rPr>
      </w:pPr>
      <w:r>
        <w:rPr>
          <w:rFonts w:hint="eastAsia" w:ascii="仿宋_GB2312" w:eastAsia="仿宋_GB2312" w:cs="宋体"/>
          <w:kern w:val="0"/>
          <w:sz w:val="32"/>
          <w:szCs w:val="32"/>
          <w:lang w:val="en-US" w:eastAsia="zh-CN"/>
        </w:rPr>
        <w:t xml:space="preserve"> 4、推进企业研发机构建设。积极构建以</w:t>
      </w:r>
      <w:r>
        <w:rPr>
          <w:rFonts w:hint="eastAsia" w:ascii="仿宋_GB2312" w:eastAsia="仿宋_GB2312" w:cs="宋体"/>
          <w:kern w:val="0"/>
          <w:sz w:val="32"/>
          <w:szCs w:val="32"/>
        </w:rPr>
        <w:t>企业为主体的应用技术创新平台，打造以中介为载体的公共技术服务平台，提供技术创新和科技成果转化能力，扶持优势企业建立企业技术（研发）中心。依托行业骨干企业、科研机构、高等院校，在新兴产业重点领域建设一批重点实验室（工程技术中心）和企业技术研发中心等研发平台。按照“软硬件设备共享+工程咨询服务+人才配套+行业解决方案”的模式，整合、集成、优化科技资源，高标准建设科技服务、中介服务等公共技术服务平台。</w:t>
      </w:r>
      <w:r>
        <w:rPr>
          <w:rFonts w:hint="eastAsia" w:ascii="仿宋_GB2312" w:eastAsia="仿宋_GB2312" w:cs="宋体"/>
          <w:kern w:val="0"/>
          <w:sz w:val="32"/>
          <w:szCs w:val="32"/>
          <w:lang w:eastAsia="zh-CN"/>
        </w:rPr>
        <w:t>到</w:t>
      </w:r>
      <w:r>
        <w:rPr>
          <w:rFonts w:hint="eastAsia" w:ascii="仿宋_GB2312" w:eastAsia="仿宋_GB2312" w:cs="宋体"/>
          <w:kern w:val="0"/>
          <w:sz w:val="32"/>
          <w:szCs w:val="32"/>
          <w:lang w:val="en-US" w:eastAsia="zh-CN"/>
        </w:rPr>
        <w:t>2018年，</w:t>
      </w:r>
      <w:r>
        <w:rPr>
          <w:rFonts w:hint="eastAsia" w:ascii="仿宋_GB2312" w:eastAsia="仿宋_GB2312" w:cs="宋体"/>
          <w:kern w:val="0"/>
          <w:sz w:val="32"/>
          <w:szCs w:val="32"/>
        </w:rPr>
        <w:t>全市廊坊市级以上各类企业研发机构</w:t>
      </w:r>
      <w:r>
        <w:rPr>
          <w:rFonts w:hint="eastAsia" w:ascii="仿宋_GB2312" w:eastAsia="仿宋_GB2312" w:cs="宋体"/>
          <w:kern w:val="0"/>
          <w:sz w:val="32"/>
          <w:szCs w:val="32"/>
          <w:lang w:eastAsia="zh-CN"/>
        </w:rPr>
        <w:t>突破</w:t>
      </w:r>
      <w:r>
        <w:rPr>
          <w:rFonts w:hint="eastAsia" w:ascii="仿宋_GB2312" w:eastAsia="仿宋_GB2312" w:cs="宋体"/>
          <w:kern w:val="0"/>
          <w:sz w:val="32"/>
          <w:szCs w:val="32"/>
          <w:lang w:val="en-US" w:eastAsia="zh-CN"/>
        </w:rPr>
        <w:t>50</w:t>
      </w:r>
      <w:r>
        <w:rPr>
          <w:rFonts w:hint="eastAsia" w:ascii="仿宋_GB2312" w:eastAsia="仿宋_GB2312" w:cs="宋体"/>
          <w:kern w:val="0"/>
          <w:sz w:val="32"/>
          <w:szCs w:val="32"/>
        </w:rPr>
        <w:t>家</w:t>
      </w:r>
      <w:r>
        <w:rPr>
          <w:rFonts w:hint="eastAsia" w:ascii="仿宋_GB2312"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lang w:val="en-US" w:eastAsia="zh-CN"/>
        </w:rPr>
      </w:pPr>
      <w:r>
        <w:rPr>
          <w:rFonts w:hint="eastAsia" w:ascii="仿宋_GB2312" w:eastAsia="仿宋_GB2312" w:cs="宋体"/>
          <w:kern w:val="0"/>
          <w:sz w:val="32"/>
          <w:szCs w:val="32"/>
          <w:lang w:eastAsia="zh-CN"/>
        </w:rPr>
        <w:t>（</w:t>
      </w:r>
      <w:r>
        <w:rPr>
          <w:rFonts w:hint="eastAsia" w:ascii="仿宋_GB2312" w:eastAsia="仿宋_GB2312" w:cs="宋体"/>
          <w:kern w:val="0"/>
          <w:sz w:val="32"/>
          <w:szCs w:val="32"/>
          <w:lang w:val="en-US" w:eastAsia="zh-CN"/>
        </w:rPr>
        <w:t>三）知识产权提升工程</w:t>
      </w:r>
    </w:p>
    <w:p>
      <w:pPr>
        <w:keepNext w:val="0"/>
        <w:keepLines w:val="0"/>
        <w:pageBreakBefore w:val="0"/>
        <w:widowControl/>
        <w:kinsoku/>
        <w:wordWrap/>
        <w:overflowPunct/>
        <w:topLinePunct w:val="0"/>
        <w:autoSpaceDE/>
        <w:autoSpaceDN/>
        <w:bidi w:val="0"/>
        <w:adjustRightInd/>
        <w:spacing w:before="0" w:beforeLines="0" w:after="0" w:afterLines="0" w:line="600" w:lineRule="exact"/>
        <w:ind w:left="0" w:leftChars="0" w:right="0" w:rightChars="0" w:firstLine="640" w:firstLineChars="200"/>
        <w:jc w:val="both"/>
        <w:textAlignment w:val="auto"/>
        <w:outlineLvl w:val="9"/>
        <w:rPr>
          <w:rFonts w:hint="eastAsia" w:ascii="仿宋_GB2312" w:eastAsia="仿宋_GB2312" w:cs="宋体"/>
          <w:kern w:val="0"/>
          <w:sz w:val="32"/>
          <w:szCs w:val="32"/>
        </w:rPr>
      </w:pPr>
      <w:r>
        <w:rPr>
          <w:rFonts w:hint="eastAsia" w:ascii="仿宋_GB2312" w:eastAsia="仿宋_GB2312" w:cs="宋体"/>
          <w:kern w:val="0"/>
          <w:sz w:val="32"/>
          <w:szCs w:val="32"/>
        </w:rPr>
        <w:t>大力实施知识产权战略，全面提升我市的知识产权的创新、运用、保护和管理水平。进一步建立健全知识产权管理机构，制定促进知识产权发展的配套政策措施，搭建知识产权综合服务平台。</w:t>
      </w:r>
    </w:p>
    <w:p>
      <w:pPr>
        <w:ind w:firstLine="643" w:firstLineChars="200"/>
        <w:jc w:val="left"/>
        <w:outlineLvl w:val="0"/>
        <w:rPr>
          <w:rFonts w:hint="eastAsia" w:ascii="楷体" w:hAnsi="楷体" w:eastAsia="楷体" w:cs="楷体"/>
          <w:b/>
          <w:sz w:val="32"/>
          <w:szCs w:val="24"/>
        </w:rPr>
      </w:pPr>
      <w:r>
        <w:rPr>
          <w:rFonts w:hint="eastAsia" w:ascii="楷体" w:hAnsi="楷体" w:eastAsia="楷体" w:cs="楷体"/>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886"/>
        <w:gridCol w:w="2428"/>
        <w:gridCol w:w="2055"/>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lang w:val="en-US" w:eastAsia="zh-CN"/>
              </w:rPr>
              <w:t>601霸州市科学技术局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88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428"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2055"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88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428"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055"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 w:val="18"/>
                <w:szCs w:val="18"/>
              </w:rPr>
            </w:pPr>
            <w:r>
              <w:rPr>
                <w:rFonts w:hint="eastAsia" w:ascii="方正书宋_GBK" w:eastAsia="方正书宋_GBK"/>
                <w:b/>
              </w:rPr>
              <w:t>科技创新项目支撑</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18"/>
                <w:szCs w:val="18"/>
                <w:lang w:val="en-US" w:eastAsia="zh-CN"/>
              </w:rPr>
            </w:pPr>
            <w:r>
              <w:rPr>
                <w:rFonts w:hint="eastAsia" w:ascii="方正书宋_GBK" w:hAnsi="Times New Roman" w:eastAsia="方正书宋_GBK" w:cs="Times New Roman"/>
                <w:sz w:val="18"/>
                <w:szCs w:val="18"/>
                <w:lang w:val="en-US" w:eastAsia="zh-CN"/>
              </w:rPr>
              <w:t>1777.50</w:t>
            </w:r>
          </w:p>
        </w:tc>
        <w:tc>
          <w:tcPr>
            <w:tcW w:w="2886"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以促进产业转型升级、治理生态环境、改善民生等重大科技需求为重点，在高新技术、现代农业发展、生态环境治理与科技惠民等领域，实施关键共性技术应用示范；支持重大科技成果转化和产业化</w:t>
            </w:r>
          </w:p>
        </w:tc>
        <w:tc>
          <w:tcPr>
            <w:tcW w:w="242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为产业转型升级、现代农业建设、和谐宜居环境创建和民生改善提供创新支撑；提升科技开放与合作的水平，提高科技成果转化和产业化能力</w:t>
            </w:r>
          </w:p>
        </w:tc>
        <w:tc>
          <w:tcPr>
            <w:tcW w:w="2055"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 w:val="18"/>
                <w:szCs w:val="18"/>
              </w:rPr>
            </w:pPr>
            <w:r>
              <w:rPr>
                <w:rFonts w:hint="eastAsia" w:ascii="方正书宋_GBK" w:eastAsia="方正书宋_GBK"/>
                <w:b/>
                <w:lang w:val="en-US" w:eastAsia="zh-CN"/>
              </w:rPr>
              <w:t>支持科技型中小企业技术创新</w:t>
            </w:r>
          </w:p>
        </w:tc>
        <w:tc>
          <w:tcPr>
            <w:tcW w:w="1276" w:type="dxa"/>
            <w:vMerge w:val="restart"/>
            <w:shd w:val="clear" w:color="auto" w:fill="auto"/>
            <w:vAlign w:val="center"/>
          </w:tcPr>
          <w:p>
            <w:pPr>
              <w:spacing w:line="300" w:lineRule="exact"/>
              <w:jc w:val="left"/>
              <w:rPr>
                <w:rFonts w:hint="eastAsia" w:ascii="方正书宋_GBK" w:hAnsi="Times New Roman" w:eastAsia="方正书宋_GBK" w:cs="Times New Roman"/>
                <w:sz w:val="18"/>
                <w:szCs w:val="18"/>
                <w:lang w:val="en-US" w:eastAsia="zh-CN"/>
              </w:rPr>
            </w:pPr>
            <w:r>
              <w:rPr>
                <w:rFonts w:hint="eastAsia" w:ascii="方正书宋_GBK" w:hAnsi="Times New Roman" w:eastAsia="方正书宋_GBK" w:cs="Times New Roman"/>
                <w:sz w:val="18"/>
                <w:szCs w:val="18"/>
                <w:lang w:val="en-US" w:eastAsia="zh-CN"/>
              </w:rPr>
              <w:t>1777.50</w:t>
            </w:r>
          </w:p>
        </w:tc>
        <w:tc>
          <w:tcPr>
            <w:tcW w:w="2886" w:type="dxa"/>
            <w:vMerge w:val="restart"/>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支持和引导科技型中小企业开展技术创新；建立健全多元化、多层次的中小企业技术创新公共服务体系；壮大科技型中小企业创业投资引导基金规模，建立和完善融资风险补偿基金、科技成果转化引导基金、科技担保机制等；开展科技与金融的对接合作，搭建科技金融服务平台</w:t>
            </w:r>
          </w:p>
        </w:tc>
        <w:tc>
          <w:tcPr>
            <w:tcW w:w="2428" w:type="dxa"/>
            <w:vMerge w:val="restart"/>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发挥财政资金引导作用，推动科技型中小企业技术创新能力不断增强；发挥科技基金作用，逐步建立有利于促进企业自主创新的多元化、多层次、多渠道科技投融资体系。</w:t>
            </w:r>
          </w:p>
        </w:tc>
        <w:tc>
          <w:tcPr>
            <w:tcW w:w="2055"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完成产品研发和产业化目标任务的企业比重</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≥90%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≥80%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≥70%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88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428"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055"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科技金融专项资金</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≥10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≥8</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≥6</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88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428"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055"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科技型中小企业认定数量</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≥120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≥100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≥80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88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428"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055"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高新技术企业认定数量</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≥4</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3</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2</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88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428"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055"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河北省科技小巨人认定数量</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≥10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≥8</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≥6</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88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428"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055"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开展科技与金融合作的机构数量</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≥4</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3</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2</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79" w:hRule="atLeast"/>
          <w:jc w:val="center"/>
        </w:trPr>
        <w:tc>
          <w:tcPr>
            <w:tcW w:w="2341"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 w:val="18"/>
                <w:szCs w:val="18"/>
              </w:rPr>
            </w:pPr>
            <w:r>
              <w:rPr>
                <w:rFonts w:hint="eastAsia" w:ascii="方正书宋_GBK" w:eastAsia="方正书宋_GBK"/>
                <w:b/>
                <w:lang w:val="en-US" w:eastAsia="zh-CN"/>
              </w:rPr>
              <w:t>知识产权管理与保护</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18"/>
                <w:szCs w:val="18"/>
                <w:lang w:val="en-US" w:eastAsia="zh-CN"/>
              </w:rPr>
            </w:pPr>
            <w:r>
              <w:rPr>
                <w:rFonts w:hint="eastAsia" w:ascii="方正书宋_GBK" w:hAnsi="Times New Roman" w:eastAsia="方正书宋_GBK" w:cs="Times New Roman"/>
                <w:sz w:val="18"/>
                <w:szCs w:val="18"/>
                <w:lang w:val="en-US" w:eastAsia="zh-CN"/>
              </w:rPr>
              <w:t>7.00</w:t>
            </w:r>
          </w:p>
        </w:tc>
        <w:tc>
          <w:tcPr>
            <w:tcW w:w="2886"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加强知识产权管理，促进知识产权运用，加大知识产权保护力度；加强知识产权宣传培训，加快知识产权服务业发展</w:t>
            </w:r>
          </w:p>
        </w:tc>
        <w:tc>
          <w:tcPr>
            <w:tcW w:w="242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知识产权管理、保护和运用水平不断提高，知识产权竞争优势明显，有效推进知识产权战略实施</w:t>
            </w:r>
          </w:p>
        </w:tc>
        <w:tc>
          <w:tcPr>
            <w:tcW w:w="2055"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 w:val="18"/>
                <w:szCs w:val="18"/>
              </w:rPr>
            </w:pPr>
            <w:r>
              <w:rPr>
                <w:rFonts w:hint="eastAsia" w:ascii="方正书宋_GBK" w:eastAsia="方正书宋_GBK"/>
                <w:b/>
                <w:lang w:val="en-US" w:eastAsia="zh-CN"/>
              </w:rPr>
              <w:t>知识产权管理</w:t>
            </w:r>
          </w:p>
        </w:tc>
        <w:tc>
          <w:tcPr>
            <w:tcW w:w="1276" w:type="dxa"/>
            <w:vMerge w:val="restart"/>
            <w:shd w:val="clear" w:color="auto" w:fill="auto"/>
            <w:vAlign w:val="center"/>
          </w:tcPr>
          <w:p>
            <w:pPr>
              <w:spacing w:line="300" w:lineRule="exact"/>
              <w:jc w:val="left"/>
              <w:rPr>
                <w:rFonts w:hint="eastAsia" w:ascii="方正书宋_GBK" w:hAnsi="Times New Roman" w:eastAsia="方正书宋_GBK" w:cs="Times New Roman"/>
                <w:sz w:val="18"/>
                <w:szCs w:val="18"/>
                <w:lang w:val="en-US" w:eastAsia="zh-CN"/>
              </w:rPr>
            </w:pPr>
            <w:r>
              <w:rPr>
                <w:rFonts w:hint="eastAsia" w:ascii="方正书宋_GBK" w:hAnsi="Times New Roman" w:eastAsia="方正书宋_GBK" w:cs="Times New Roman"/>
                <w:sz w:val="18"/>
                <w:szCs w:val="18"/>
                <w:lang w:val="en-US" w:eastAsia="zh-CN"/>
              </w:rPr>
              <w:t>7.00</w:t>
            </w:r>
          </w:p>
        </w:tc>
        <w:tc>
          <w:tcPr>
            <w:tcW w:w="2886" w:type="dxa"/>
            <w:vMerge w:val="restart"/>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引导企业制定专利战略，规范企业知识产权管理,培育知识产权竞争优势。健全专利奖励机制，促进专利转化。推进国家知识产权战略纲要实施。</w:t>
            </w:r>
          </w:p>
        </w:tc>
        <w:tc>
          <w:tcPr>
            <w:tcW w:w="2428" w:type="dxa"/>
            <w:vMerge w:val="restart"/>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科技创新成果获得知识产权能力增强，科技型中小企业融资渠道拓宽，重点企业知识产权竞争优势进一步显现。</w:t>
            </w:r>
          </w:p>
        </w:tc>
        <w:tc>
          <w:tcPr>
            <w:tcW w:w="2055"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发明专利申请增长率</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≥15%</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≥10%</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≥5%</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88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428"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055"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资助专利数（件）</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≥4</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3</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2</w:t>
            </w:r>
          </w:p>
        </w:tc>
        <w:tc>
          <w:tcPr>
            <w:tcW w:w="737" w:type="dxa"/>
            <w:shd w:val="clear" w:color="auto" w:fill="auto"/>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b/>
                <w:sz w:val="18"/>
                <w:szCs w:val="18"/>
              </w:rPr>
            </w:pPr>
            <w:r>
              <w:rPr>
                <w:rFonts w:hint="eastAsia" w:ascii="方正书宋_GBK" w:eastAsia="方正书宋_GBK"/>
                <w:b/>
                <w:lang w:val="en-US" w:eastAsia="zh-CN"/>
              </w:rPr>
              <w:t>科技政务管理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18"/>
                <w:szCs w:val="18"/>
                <w:lang w:val="en-US" w:eastAsia="zh-CN"/>
              </w:rPr>
            </w:pPr>
            <w:r>
              <w:rPr>
                <w:rFonts w:hint="eastAsia" w:ascii="方正书宋_GBK" w:hAnsi="Times New Roman" w:eastAsia="方正书宋_GBK" w:cs="Times New Roman"/>
                <w:sz w:val="18"/>
                <w:szCs w:val="18"/>
                <w:lang w:val="en-US" w:eastAsia="zh-CN"/>
              </w:rPr>
              <w:t>10.30</w:t>
            </w:r>
          </w:p>
        </w:tc>
        <w:tc>
          <w:tcPr>
            <w:tcW w:w="2886"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负责机关综合业务管理和机关综合管理</w:t>
            </w:r>
          </w:p>
        </w:tc>
        <w:tc>
          <w:tcPr>
            <w:tcW w:w="2428" w:type="dxa"/>
            <w:shd w:val="clear" w:color="auto" w:fill="auto"/>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确保各项业务工作谋划到位、顺利开展。保障机关工作正常高效运转。</w:t>
            </w:r>
          </w:p>
        </w:tc>
        <w:tc>
          <w:tcPr>
            <w:tcW w:w="2055"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keepNext w:val="0"/>
              <w:keepLines w:val="0"/>
              <w:widowControl/>
              <w:suppressLineNumbers w:val="0"/>
              <w:jc w:val="left"/>
              <w:textAlignment w:val="center"/>
              <w:rPr>
                <w:rFonts w:ascii="方正书宋_GBK" w:hAnsi="Times New Roman" w:eastAsia="方正书宋_GBK" w:cs="Times New Roman"/>
                <w:b/>
                <w:sz w:val="18"/>
                <w:szCs w:val="18"/>
              </w:rPr>
            </w:pPr>
            <w:r>
              <w:rPr>
                <w:rFonts w:hint="eastAsia" w:ascii="方正书宋_GBK" w:eastAsia="方正书宋_GBK"/>
                <w:b/>
                <w:lang w:val="en-US" w:eastAsia="zh-CN"/>
              </w:rPr>
              <w:t>综合事务管理</w:t>
            </w:r>
          </w:p>
        </w:tc>
        <w:tc>
          <w:tcPr>
            <w:tcW w:w="1276" w:type="dxa"/>
          </w:tcPr>
          <w:p>
            <w:pPr>
              <w:spacing w:line="300" w:lineRule="exact"/>
              <w:jc w:val="left"/>
              <w:rPr>
                <w:rFonts w:hint="eastAsia" w:ascii="方正书宋_GBK" w:hAnsi="Times New Roman" w:eastAsia="方正书宋_GBK" w:cs="Times New Roman"/>
                <w:sz w:val="18"/>
                <w:szCs w:val="18"/>
                <w:lang w:val="en-US" w:eastAsia="zh-CN"/>
              </w:rPr>
            </w:pPr>
            <w:r>
              <w:rPr>
                <w:rFonts w:hint="eastAsia" w:ascii="方正书宋_GBK" w:hAnsi="Times New Roman" w:eastAsia="方正书宋_GBK" w:cs="Times New Roman"/>
                <w:sz w:val="18"/>
                <w:szCs w:val="18"/>
                <w:lang w:val="en-US" w:eastAsia="zh-CN"/>
              </w:rPr>
              <w:t>10.30</w:t>
            </w:r>
          </w:p>
        </w:tc>
        <w:tc>
          <w:tcPr>
            <w:tcW w:w="2886" w:type="dxa"/>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主要开展会议组织管理、信息化建设、机关财务和资产管理、标准化建设、人事管理、机关党工委、老干部工作以及直属企事业单位管理服务保障等工作。</w:t>
            </w:r>
          </w:p>
        </w:tc>
        <w:tc>
          <w:tcPr>
            <w:tcW w:w="2428" w:type="dxa"/>
            <w:vAlign w:val="center"/>
          </w:tcPr>
          <w:p>
            <w:pPr>
              <w:keepNext w:val="0"/>
              <w:keepLines w:val="0"/>
              <w:widowControl/>
              <w:suppressLineNumbers w:val="0"/>
              <w:jc w:val="left"/>
              <w:textAlignment w:val="center"/>
              <w:rPr>
                <w:rFonts w:ascii="方正书宋_GBK"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保障机关工作正常高效运转。</w:t>
            </w:r>
          </w:p>
        </w:tc>
        <w:tc>
          <w:tcPr>
            <w:tcW w:w="2055" w:type="dxa"/>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综合事务工作完成率</w:t>
            </w:r>
          </w:p>
        </w:tc>
        <w:tc>
          <w:tcPr>
            <w:tcW w:w="737" w:type="dxa"/>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100%</w:t>
            </w:r>
          </w:p>
        </w:tc>
        <w:tc>
          <w:tcPr>
            <w:tcW w:w="737" w:type="dxa"/>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≥95%</w:t>
            </w:r>
          </w:p>
        </w:tc>
        <w:tc>
          <w:tcPr>
            <w:tcW w:w="737" w:type="dxa"/>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≥90%</w:t>
            </w:r>
          </w:p>
        </w:tc>
        <w:tc>
          <w:tcPr>
            <w:tcW w:w="737" w:type="dxa"/>
            <w:vAlign w:val="center"/>
          </w:tcPr>
          <w:p>
            <w:pPr>
              <w:keepNext w:val="0"/>
              <w:keepLines w:val="0"/>
              <w:widowControl/>
              <w:suppressLineNumbers w:val="0"/>
              <w:jc w:val="left"/>
              <w:textAlignment w:val="center"/>
              <w:rPr>
                <w:rFonts w:ascii="Times New Roman" w:hAnsi="Times New Roman" w:eastAsia="方正书宋_GBK" w:cs="Times New Roman"/>
                <w:sz w:val="18"/>
                <w:szCs w:val="18"/>
              </w:rPr>
            </w:pPr>
            <w:r>
              <w:rPr>
                <w:rFonts w:hint="eastAsia" w:ascii="宋体" w:hAnsi="宋体" w:eastAsia="宋体" w:cs="宋体"/>
                <w:i w:val="0"/>
                <w:color w:val="000000"/>
                <w:kern w:val="0"/>
                <w:sz w:val="18"/>
                <w:szCs w:val="18"/>
                <w:u w:val="none"/>
                <w:lang w:val="en-US" w:eastAsia="zh-CN" w:bidi="ar"/>
              </w:rPr>
              <w:t>&lt;90%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黑体" w:eastAsia="仿宋_GB2312" w:cs="Times New Roman"/>
          <w:color w:val="000000" w:themeColor="text1"/>
          <w:sz w:val="32"/>
          <w:szCs w:val="32"/>
        </w:rPr>
      </w:pPr>
      <w:bookmarkStart w:id="2" w:name="_Toc471398468"/>
      <w:r>
        <w:rPr>
          <w:rFonts w:hint="eastAsia" w:ascii="仿宋_GB2312" w:hAnsi="黑体" w:eastAsia="仿宋_GB2312" w:cs="Times New Roman"/>
          <w:color w:val="000000" w:themeColor="text1"/>
          <w:sz w:val="32"/>
          <w:szCs w:val="32"/>
        </w:rPr>
        <w:t>2018年，我部门安排政府采购预算</w:t>
      </w:r>
      <w:r>
        <w:rPr>
          <w:rFonts w:hint="eastAsia" w:ascii="仿宋_GB2312" w:hAnsi="黑体" w:eastAsia="仿宋_GB2312" w:cs="Times New Roman"/>
          <w:color w:val="000000" w:themeColor="text1"/>
          <w:sz w:val="32"/>
          <w:szCs w:val="32"/>
          <w:lang w:val="en-US" w:eastAsia="zh-CN"/>
        </w:rPr>
        <w:t>8.48</w:t>
      </w:r>
      <w:r>
        <w:rPr>
          <w:rFonts w:hint="eastAsia" w:ascii="仿宋_GB2312" w:hAnsi="黑体" w:eastAsia="仿宋_GB2312" w:cs="Times New Roman"/>
          <w:color w:val="000000" w:themeColor="text1"/>
          <w:sz w:val="32"/>
          <w:szCs w:val="32"/>
        </w:rPr>
        <w:t>万元。具体内容见下表。</w:t>
      </w:r>
    </w:p>
    <w:p>
      <w:pPr>
        <w:ind w:firstLine="640" w:firstLineChars="200"/>
        <w:rPr>
          <w:rFonts w:ascii="仿宋_GB2312" w:hAnsi="Times New Roman" w:eastAsia="仿宋_GB2312" w:cs="Times New Roman"/>
          <w:color w:val="FF0000"/>
          <w:sz w:val="32"/>
          <w:szCs w:val="32"/>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7"/>
        <w:tblW w:w="1416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0"/>
        <w:gridCol w:w="1068"/>
        <w:gridCol w:w="878"/>
        <w:gridCol w:w="1464"/>
        <w:gridCol w:w="813"/>
        <w:gridCol w:w="878"/>
        <w:gridCol w:w="904"/>
        <w:gridCol w:w="898"/>
        <w:gridCol w:w="898"/>
        <w:gridCol w:w="898"/>
        <w:gridCol w:w="819"/>
        <w:gridCol w:w="881"/>
        <w:gridCol w:w="593"/>
        <w:gridCol w:w="7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lang w:val="en-US" w:eastAsia="zh-CN"/>
              </w:rPr>
              <w:t>601霸州市科学技术局</w:t>
            </w:r>
          </w:p>
        </w:tc>
        <w:tc>
          <w:tcPr>
            <w:tcW w:w="576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46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13"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768"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46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1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089"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78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6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46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1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19"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593"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78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464" w:type="dxa"/>
            <w:shd w:val="clear" w:color="auto" w:fill="auto"/>
            <w:vAlign w:val="center"/>
          </w:tcPr>
          <w:p>
            <w:pPr>
              <w:spacing w:line="300" w:lineRule="exact"/>
              <w:jc w:val="left"/>
              <w:rPr>
                <w:rFonts w:ascii="方正书宋_GBK" w:hAnsi="Times New Roman" w:eastAsia="方正书宋_GBK" w:cs="Times New Roman"/>
                <w:b/>
                <w:szCs w:val="24"/>
              </w:rPr>
            </w:pPr>
          </w:p>
        </w:tc>
        <w:tc>
          <w:tcPr>
            <w:tcW w:w="813"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8" w:type="dxa"/>
            <w:shd w:val="clear" w:color="auto" w:fill="auto"/>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lang w:val="en-US" w:eastAsia="zh-CN"/>
              </w:rPr>
              <w:t>8.48</w:t>
            </w:r>
          </w:p>
        </w:tc>
        <w:tc>
          <w:tcPr>
            <w:tcW w:w="898" w:type="dxa"/>
            <w:shd w:val="clear" w:color="auto" w:fill="auto"/>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lang w:val="en-US" w:eastAsia="zh-CN"/>
              </w:rPr>
              <w:t>8.48</w:t>
            </w:r>
          </w:p>
        </w:tc>
        <w:tc>
          <w:tcPr>
            <w:tcW w:w="898" w:type="dxa"/>
            <w:shd w:val="clear" w:color="auto" w:fill="auto"/>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lang w:val="en-US" w:eastAsia="zh-CN"/>
              </w:rPr>
              <w:t>8.48</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59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81"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霸州市科学技术局</w:t>
            </w:r>
          </w:p>
        </w:tc>
        <w:tc>
          <w:tcPr>
            <w:tcW w:w="106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464" w:type="dxa"/>
            <w:shd w:val="clear" w:color="auto" w:fill="auto"/>
            <w:vAlign w:val="center"/>
          </w:tcPr>
          <w:p>
            <w:pPr>
              <w:spacing w:line="300" w:lineRule="exact"/>
              <w:jc w:val="left"/>
              <w:rPr>
                <w:rFonts w:ascii="方正书宋_GBK" w:hAnsi="Times New Roman" w:eastAsia="方正书宋_GBK" w:cs="Times New Roman"/>
                <w:b/>
                <w:szCs w:val="24"/>
              </w:rPr>
            </w:pPr>
          </w:p>
        </w:tc>
        <w:tc>
          <w:tcPr>
            <w:tcW w:w="813"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both"/>
              <w:rPr>
                <w:rFonts w:hint="eastAsia" w:ascii="方正书宋_GBK" w:hAnsi="Times New Roman" w:eastAsia="方正书宋_GBK" w:cs="Times New Roman"/>
                <w:b/>
                <w:szCs w:val="24"/>
                <w:lang w:val="en-US" w:eastAsia="zh-CN"/>
              </w:rPr>
            </w:pPr>
          </w:p>
        </w:tc>
        <w:tc>
          <w:tcPr>
            <w:tcW w:w="904" w:type="dxa"/>
            <w:shd w:val="clear" w:color="auto" w:fill="auto"/>
            <w:vAlign w:val="center"/>
          </w:tcPr>
          <w:p>
            <w:pPr>
              <w:spacing w:line="300" w:lineRule="exact"/>
              <w:jc w:val="both"/>
              <w:rPr>
                <w:rFonts w:ascii="方正书宋_GBK" w:hAnsi="Times New Roman" w:eastAsia="方正书宋_GBK" w:cs="Times New Roman"/>
                <w:b/>
                <w:szCs w:val="24"/>
              </w:rPr>
            </w:pPr>
          </w:p>
        </w:tc>
        <w:tc>
          <w:tcPr>
            <w:tcW w:w="898" w:type="dxa"/>
            <w:shd w:val="clear" w:color="auto" w:fill="auto"/>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lang w:val="en-US" w:eastAsia="zh-CN"/>
              </w:rPr>
              <w:t>8.48</w:t>
            </w:r>
          </w:p>
        </w:tc>
        <w:tc>
          <w:tcPr>
            <w:tcW w:w="898" w:type="dxa"/>
            <w:shd w:val="clear" w:color="auto" w:fill="auto"/>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lang w:val="en-US" w:eastAsia="zh-CN"/>
              </w:rPr>
              <w:t>8.48</w:t>
            </w:r>
          </w:p>
        </w:tc>
        <w:tc>
          <w:tcPr>
            <w:tcW w:w="898" w:type="dxa"/>
            <w:shd w:val="clear" w:color="auto" w:fill="auto"/>
            <w:vAlign w:val="center"/>
          </w:tcPr>
          <w:p>
            <w:pPr>
              <w:spacing w:line="300" w:lineRule="exact"/>
              <w:jc w:val="both"/>
              <w:rPr>
                <w:rFonts w:ascii="方正书宋_GBK" w:hAnsi="Times New Roman" w:eastAsia="方正书宋_GBK" w:cs="Times New Roman"/>
                <w:b/>
                <w:szCs w:val="24"/>
              </w:rPr>
            </w:pPr>
            <w:r>
              <w:rPr>
                <w:rFonts w:hint="eastAsia" w:ascii="方正书宋_GBK" w:hAnsi="Times New Roman" w:eastAsia="方正书宋_GBK" w:cs="Times New Roman"/>
                <w:b/>
                <w:szCs w:val="24"/>
                <w:lang w:val="en-US" w:eastAsia="zh-CN"/>
              </w:rPr>
              <w:t>8.48</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59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81"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科技活动周及知识产权宣传经费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val="0"/>
                <w:bCs/>
                <w:szCs w:val="24"/>
                <w:lang w:val="en-US" w:eastAsia="zh-CN"/>
              </w:rPr>
              <w:t>7.00</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印刷和出版</w:t>
            </w:r>
          </w:p>
        </w:tc>
        <w:tc>
          <w:tcPr>
            <w:tcW w:w="1464"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C0814</w:t>
            </w:r>
          </w:p>
        </w:tc>
        <w:tc>
          <w:tcPr>
            <w:tcW w:w="813"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1.00</w:t>
            </w:r>
          </w:p>
        </w:tc>
        <w:tc>
          <w:tcPr>
            <w:tcW w:w="904"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7.00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7.00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7.00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7.00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59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81"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日常公用经费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0.48</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计算机设备</w:t>
            </w:r>
          </w:p>
        </w:tc>
        <w:tc>
          <w:tcPr>
            <w:tcW w:w="1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A02010</w:t>
            </w:r>
            <w:r>
              <w:rPr>
                <w:rFonts w:hint="eastAsia" w:ascii="方正书宋_GBK" w:eastAsia="方正书宋_GBK"/>
                <w:lang w:val="en-US" w:eastAsia="zh-CN"/>
              </w:rPr>
              <w:t>1</w:t>
            </w:r>
          </w:p>
        </w:tc>
        <w:tc>
          <w:tcPr>
            <w:tcW w:w="813" w:type="dxa"/>
            <w:shd w:val="clear" w:color="auto" w:fill="auto"/>
            <w:vAlign w:val="center"/>
          </w:tcPr>
          <w:p>
            <w:pPr>
              <w:spacing w:line="300" w:lineRule="exact"/>
              <w:jc w:val="left"/>
              <w:rPr>
                <w:rFonts w:hint="eastAsia" w:ascii="方正书宋_GBK" w:eastAsia="方正书宋_GBK"/>
              </w:rPr>
            </w:pPr>
          </w:p>
        </w:tc>
        <w:tc>
          <w:tcPr>
            <w:tcW w:w="87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1.00</w:t>
            </w:r>
          </w:p>
        </w:tc>
        <w:tc>
          <w:tcPr>
            <w:tcW w:w="904"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0.48</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0.48</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0.48</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0.48</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59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81"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日常公用经费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0.50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打印设备</w:t>
            </w:r>
          </w:p>
        </w:tc>
        <w:tc>
          <w:tcPr>
            <w:tcW w:w="1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A02010601</w:t>
            </w:r>
          </w:p>
        </w:tc>
        <w:tc>
          <w:tcPr>
            <w:tcW w:w="813" w:type="dxa"/>
            <w:shd w:val="clear" w:color="auto" w:fill="auto"/>
            <w:vAlign w:val="center"/>
          </w:tcPr>
          <w:p>
            <w:pPr>
              <w:spacing w:line="300" w:lineRule="exact"/>
              <w:jc w:val="left"/>
              <w:rPr>
                <w:rFonts w:hint="eastAsia" w:ascii="方正书宋_GBK" w:eastAsia="方正书宋_GBK"/>
              </w:rPr>
            </w:pPr>
          </w:p>
        </w:tc>
        <w:tc>
          <w:tcPr>
            <w:tcW w:w="87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2.00</w:t>
            </w:r>
          </w:p>
        </w:tc>
        <w:tc>
          <w:tcPr>
            <w:tcW w:w="904"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0.25</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0.50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0.50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0.50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59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81"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eastAsia="zh-CN"/>
              </w:rPr>
              <w:t>日常公用经费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0.30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普通电视设备(电视机)</w:t>
            </w:r>
          </w:p>
        </w:tc>
        <w:tc>
          <w:tcPr>
            <w:tcW w:w="1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A02091001</w:t>
            </w:r>
          </w:p>
        </w:tc>
        <w:tc>
          <w:tcPr>
            <w:tcW w:w="813" w:type="dxa"/>
            <w:shd w:val="clear" w:color="auto" w:fill="auto"/>
            <w:vAlign w:val="center"/>
          </w:tcPr>
          <w:p>
            <w:pPr>
              <w:spacing w:line="300" w:lineRule="exact"/>
              <w:jc w:val="left"/>
              <w:rPr>
                <w:rFonts w:hint="eastAsia" w:ascii="方正书宋_GBK" w:eastAsia="方正书宋_GBK"/>
              </w:rPr>
            </w:pPr>
          </w:p>
        </w:tc>
        <w:tc>
          <w:tcPr>
            <w:tcW w:w="87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1.00</w:t>
            </w:r>
          </w:p>
        </w:tc>
        <w:tc>
          <w:tcPr>
            <w:tcW w:w="904"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0.30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0.30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0.30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0.30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59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81"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both"/>
              <w:rPr>
                <w:rFonts w:ascii="方正书宋_GBK" w:hAnsi="Times New Roman" w:eastAsia="方正书宋_GBK" w:cs="Times New Roman"/>
                <w:b/>
                <w:szCs w:val="24"/>
              </w:rPr>
            </w:pPr>
            <w:r>
              <w:rPr>
                <w:rFonts w:hint="eastAsia" w:ascii="方正书宋_GBK" w:eastAsia="方正书宋_GBK"/>
                <w:lang w:eastAsia="zh-CN"/>
              </w:rPr>
              <w:t>日常公用经费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0.20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销毁设备</w:t>
            </w:r>
          </w:p>
        </w:tc>
        <w:tc>
          <w:tcPr>
            <w:tcW w:w="146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A020211</w:t>
            </w:r>
          </w:p>
        </w:tc>
        <w:tc>
          <w:tcPr>
            <w:tcW w:w="813" w:type="dxa"/>
            <w:shd w:val="clear" w:color="auto" w:fill="auto"/>
            <w:vAlign w:val="center"/>
          </w:tcPr>
          <w:p>
            <w:pPr>
              <w:spacing w:line="300" w:lineRule="exact"/>
              <w:jc w:val="left"/>
              <w:rPr>
                <w:rFonts w:hint="eastAsia" w:ascii="方正书宋_GBK" w:eastAsia="方正书宋_GBK"/>
              </w:rPr>
            </w:pPr>
          </w:p>
        </w:tc>
        <w:tc>
          <w:tcPr>
            <w:tcW w:w="87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1.00</w:t>
            </w:r>
          </w:p>
        </w:tc>
        <w:tc>
          <w:tcPr>
            <w:tcW w:w="904"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0.20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0.20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0.20</w:t>
            </w:r>
          </w:p>
        </w:tc>
        <w:tc>
          <w:tcPr>
            <w:tcW w:w="898"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0.20</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593"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81"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科学技术局</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178.92</w:t>
      </w:r>
      <w:r>
        <w:rPr>
          <w:rFonts w:hint="eastAsia" w:ascii="仿宋_GB2312" w:hAnsi="黑体" w:eastAsia="仿宋_GB2312" w:cs="Times New Roman"/>
          <w:sz w:val="32"/>
          <w:szCs w:val="32"/>
        </w:rPr>
        <w:t>万元（详见下表）。</w:t>
      </w:r>
      <w:r>
        <w:rPr>
          <w:rFonts w:hint="eastAsia" w:ascii="仿宋_GB2312" w:hAnsi="黑体" w:eastAsia="仿宋_GB2312" w:cs="Times New Roman"/>
          <w:sz w:val="32"/>
          <w:szCs w:val="32"/>
          <w:lang w:eastAsia="zh-CN"/>
        </w:rPr>
        <w:t>本年度各单位（处室）拟购置固定资产总额为</w:t>
      </w:r>
      <w:r>
        <w:rPr>
          <w:rFonts w:hint="eastAsia" w:ascii="仿宋_GB2312" w:hAnsi="黑体" w:eastAsia="仿宋_GB2312" w:cs="Times New Roman"/>
          <w:sz w:val="32"/>
          <w:szCs w:val="32"/>
          <w:lang w:val="en-US" w:eastAsia="zh-CN"/>
        </w:rPr>
        <w:t>1.48万元，</w:t>
      </w:r>
      <w:r>
        <w:rPr>
          <w:rFonts w:hint="eastAsia" w:ascii="仿宋_GB2312" w:hAnsi="黑体" w:eastAsia="仿宋_GB2312" w:cs="Times New Roman"/>
          <w:sz w:val="32"/>
          <w:szCs w:val="32"/>
          <w:lang w:eastAsia="zh-CN"/>
        </w:rPr>
        <w:t>主要为计算机设备、打印设备、普通电视设备、销毁设备等，已列入政府采购预算，详见政府采购预算表。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科学技术局</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601霸州市科学技术局</w:t>
            </w:r>
          </w:p>
        </w:tc>
        <w:tc>
          <w:tcPr>
            <w:tcW w:w="5103"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178.92</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310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22"/>
                <w:lang w:val="en-US" w:eastAsia="zh-CN"/>
              </w:rPr>
            </w:pPr>
            <w:r>
              <w:rPr>
                <w:rFonts w:ascii="宋体" w:hAnsi="宋体" w:cs="宋体"/>
                <w:kern w:val="0"/>
                <w:sz w:val="22"/>
              </w:rPr>
              <w:t>77.5</w:t>
            </w:r>
            <w:r>
              <w:rPr>
                <w:rFonts w:hint="eastAsia" w:ascii="宋体" w:hAnsi="宋体" w:cs="宋体"/>
                <w:kern w:val="0"/>
                <w:sz w:val="22"/>
                <w:lang w:val="en-US" w:eastAsia="zh-CN"/>
              </w:rPr>
              <w:t>0</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310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22"/>
                <w:lang w:val="en-US" w:eastAsia="zh-CN"/>
              </w:rPr>
            </w:pPr>
            <w:r>
              <w:rPr>
                <w:rFonts w:ascii="宋体" w:hAnsi="宋体" w:cs="宋体"/>
                <w:kern w:val="0"/>
                <w:sz w:val="22"/>
              </w:rPr>
              <w:t>77.5</w:t>
            </w:r>
            <w:r>
              <w:rPr>
                <w:rFonts w:hint="eastAsia" w:ascii="宋体" w:hAnsi="宋体" w:cs="宋体"/>
                <w:kern w:val="0"/>
                <w:sz w:val="22"/>
                <w:lang w:val="en-US" w:eastAsia="zh-CN"/>
              </w:rPr>
              <w:t>0</w:t>
            </w:r>
            <w:bookmarkStart w:id="3" w:name="_GoBack"/>
            <w:bookmarkEnd w:id="3"/>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cs="宋体"/>
                <w:kern w:val="0"/>
                <w:sz w:val="22"/>
              </w:rPr>
              <w:t>26.53</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74.89</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无其它需要说明的事项。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1</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2002"/>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30C4CCE"/>
    <w:rsid w:val="03BC2111"/>
    <w:rsid w:val="0A527872"/>
    <w:rsid w:val="0C565414"/>
    <w:rsid w:val="10EC30B3"/>
    <w:rsid w:val="10F91960"/>
    <w:rsid w:val="14F4724C"/>
    <w:rsid w:val="194043AD"/>
    <w:rsid w:val="1BEB4C84"/>
    <w:rsid w:val="20250F84"/>
    <w:rsid w:val="264B0728"/>
    <w:rsid w:val="26CC03F7"/>
    <w:rsid w:val="2A940331"/>
    <w:rsid w:val="2BAC566B"/>
    <w:rsid w:val="2C364931"/>
    <w:rsid w:val="2D52048D"/>
    <w:rsid w:val="303746F5"/>
    <w:rsid w:val="34915EE8"/>
    <w:rsid w:val="3CDF7144"/>
    <w:rsid w:val="3DC31871"/>
    <w:rsid w:val="3DE26300"/>
    <w:rsid w:val="4A407D9A"/>
    <w:rsid w:val="4D2B2235"/>
    <w:rsid w:val="4DCC2F7F"/>
    <w:rsid w:val="4E224AB6"/>
    <w:rsid w:val="4E7C1354"/>
    <w:rsid w:val="4F73787A"/>
    <w:rsid w:val="51EA16CC"/>
    <w:rsid w:val="545E3E71"/>
    <w:rsid w:val="5595269E"/>
    <w:rsid w:val="5793276C"/>
    <w:rsid w:val="60652431"/>
    <w:rsid w:val="610E4906"/>
    <w:rsid w:val="66D959AE"/>
    <w:rsid w:val="73D93CEE"/>
    <w:rsid w:val="75FC2C95"/>
    <w:rsid w:val="79A85657"/>
    <w:rsid w:val="7BB300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EB052-947A-45B7-ABBB-90C259C671E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441</Words>
  <Characters>2519</Characters>
  <Lines>20</Lines>
  <Paragraphs>5</Paragraphs>
  <TotalTime>2</TotalTime>
  <ScaleCrop>false</ScaleCrop>
  <LinksUpToDate>false</LinksUpToDate>
  <CharactersWithSpaces>2955</CharactersWithSpaces>
  <Application>WPS Office_11.1.0.8391_F1E327BC-269C-435d-A152-05C5408002CA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lenovo</cp:lastModifiedBy>
  <cp:lastPrinted>2018-02-28T01:51:00Z</cp:lastPrinted>
  <dcterms:modified xsi:type="dcterms:W3CDTF">2019-01-20T03:01:11Z</dcterms:modified>
  <cp:revision>1341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